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  <w:t xml:space="preserve">*</w:t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2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331"/>
        </w:tabs>
        <w:bidi w:val="1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29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296"/>
        <w:tblGridChange w:id="0">
          <w:tblGrid>
            <w:gridCol w:w="829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اتفاقية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عمل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40"/>
                <w:szCs w:val="40"/>
                <w:u w:val="single"/>
              </w:rPr>
            </w:pPr>
            <w:r w:rsidDel="00000000" w:rsidR="00000000" w:rsidRPr="00000000">
              <w:rPr>
                <w:b w:val="1"/>
                <w:sz w:val="40"/>
                <w:szCs w:val="40"/>
                <w:u w:val="single"/>
                <w:rtl w:val="0"/>
              </w:rPr>
              <w:t xml:space="preserve">"Employee Name in English"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sz w:val="40"/>
                <w:szCs w:val="40"/>
                <w:u w:val="single"/>
              </w:rPr>
            </w:pP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اسم</w:t>
            </w: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الموظف</w:t>
            </w: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باللغة</w:t>
            </w: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sz w:val="40"/>
                <w:szCs w:val="40"/>
                <w:u w:val="single"/>
                <w:rtl w:val="1"/>
              </w:rPr>
              <w:t xml:space="preserve">العربية</w:t>
            </w:r>
            <w:r w:rsidDel="00000000" w:rsidR="00000000" w:rsidRPr="00000000">
              <w:rPr>
                <w:sz w:val="40"/>
                <w:szCs w:val="40"/>
                <w:u w:val="single"/>
                <w:rtl w:val="0"/>
              </w:rPr>
              <w:t xml:space="preserve">""</w:t>
            </w:r>
          </w:p>
        </w:tc>
      </w:tr>
      <w:tr>
        <w:trPr>
          <w:cantSplit w:val="0"/>
          <w:trHeight w:val="57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الفريق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1"/>
        </w:rPr>
        <w:t xml:space="preserve">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يمثلها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، </w:t>
      </w:r>
      <w:r w:rsidDel="00000000" w:rsidR="00000000" w:rsidRPr="00000000">
        <w:rPr>
          <w:rtl w:val="1"/>
        </w:rPr>
        <w:t xml:space="preserve">المسجلة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بموجب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وخبر</w:t>
      </w:r>
      <w:r w:rsidDel="00000000" w:rsidR="00000000" w:rsidRPr="00000000">
        <w:rPr>
          <w:rtl w:val="1"/>
        </w:rPr>
        <w:t xml:space="preserve">  </w:t>
      </w:r>
      <w:r w:rsidDel="00000000" w:rsidR="00000000" w:rsidRPr="00000000">
        <w:rPr>
          <w:rtl w:val="0"/>
        </w:rPr>
        <w:t xml:space="preserve">xxx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مركزها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  <w:t xml:space="preserve">(</w:t>
      </w:r>
      <w:r w:rsidDel="00000000" w:rsidR="00000000" w:rsidRPr="00000000">
        <w:rPr>
          <w:rtl w:val="1"/>
        </w:rPr>
        <w:t xml:space="preserve">المسماة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 “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“)</w:t>
      </w:r>
    </w:p>
    <w:p w:rsidR="00000000" w:rsidDel="00000000" w:rsidP="00000000" w:rsidRDefault="00000000" w:rsidRPr="00000000" w14:paraId="00000016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الفريق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</w:t>
      </w:r>
      <w:r w:rsidDel="00000000" w:rsidR="00000000" w:rsidRPr="00000000">
        <w:rPr>
          <w:b w:val="1"/>
          <w:rtl w:val="1"/>
        </w:rPr>
        <w:t xml:space="preserve">:</w:t>
      </w:r>
    </w:p>
    <w:tbl>
      <w:tblPr>
        <w:tblStyle w:val="Table2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43"/>
        <w:gridCol w:w="705"/>
        <w:gridCol w:w="1545"/>
        <w:gridCol w:w="2603"/>
        <w:tblGridChange w:id="0">
          <w:tblGrid>
            <w:gridCol w:w="3443"/>
            <w:gridCol w:w="705"/>
            <w:gridCol w:w="1545"/>
            <w:gridCol w:w="2603"/>
          </w:tblGrid>
        </w:tblGridChange>
      </w:tblGrid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والكنية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الأب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اسم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الأم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الجنسية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الهوية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رقم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الهاتف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مكان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وتاريخ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الولادة</w:t>
            </w:r>
            <w:r w:rsidDel="00000000" w:rsidR="00000000" w:rsidRPr="00000000">
              <w:rPr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  <w:tr>
        <w:trPr>
          <w:cantSplit w:val="0"/>
          <w:trHeight w:val="78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العنوان</w:t>
            </w:r>
            <w:r w:rsidDel="00000000" w:rsidR="00000000" w:rsidRPr="00000000">
              <w:rPr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bidi w:val="1"/>
        <w:rPr/>
      </w:pPr>
      <w:r w:rsidDel="00000000" w:rsidR="00000000" w:rsidRPr="00000000">
        <w:rPr>
          <w:rtl w:val="1"/>
        </w:rPr>
        <w:t xml:space="preserve">المسمى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 ("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")</w:t>
      </w:r>
    </w:p>
    <w:p w:rsidR="00000000" w:rsidDel="00000000" w:rsidP="00000000" w:rsidRDefault="00000000" w:rsidRPr="00000000" w14:paraId="00000028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مقدمة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الاتفاقية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rPr/>
      </w:pP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المبينة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آنفا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بإبرام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</w:p>
    <w:tbl>
      <w:tblPr>
        <w:tblStyle w:val="Table3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9"/>
        <w:gridCol w:w="7557"/>
        <w:tblGridChange w:id="0">
          <w:tblGrid>
            <w:gridCol w:w="739"/>
            <w:gridCol w:w="755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بصفة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bidi w:val="1"/>
        <w:rPr/>
      </w:pP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يرغب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مؤكدا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توفر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اللازمة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هو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والسياسات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النافذة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والاتفاقات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وقبل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الالتزام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بها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وهما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الأوصاف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المعتبرة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اتفقا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إبرام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اتفاقية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خدمات</w:t>
      </w:r>
    </w:p>
    <w:tbl>
      <w:tblPr>
        <w:tblStyle w:val="Table4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39"/>
        <w:gridCol w:w="7557"/>
        <w:tblGridChange w:id="0">
          <w:tblGrid>
            <w:gridCol w:w="739"/>
            <w:gridCol w:w="755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لمدة</w:t>
            </w:r>
          </w:p>
        </w:tc>
        <w:tc>
          <w:tcPr/>
          <w:p w:rsidR="00000000" w:rsidDel="00000000" w:rsidP="00000000" w:rsidRDefault="00000000" w:rsidRPr="00000000" w14:paraId="0000002E">
            <w:pPr>
              <w:bidi w:val="1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br w:type="textWrapping"/>
      </w:r>
      <w:r w:rsidDel="00000000" w:rsidR="00000000" w:rsidRPr="00000000">
        <w:rPr>
          <w:rtl w:val="1"/>
        </w:rPr>
        <w:t xml:space="preserve">وفقا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للشروط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الواردة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لاحقا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لذلك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يلي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0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الأولى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المقدمة</w:t>
      </w:r>
      <w:r w:rsidDel="00000000" w:rsidR="00000000" w:rsidRPr="00000000">
        <w:rPr>
          <w:b w:val="1"/>
          <w:rtl w:val="1"/>
        </w:rPr>
        <w:t xml:space="preserve"> </w:t>
      </w:r>
    </w:p>
    <w:p w:rsidR="00000000" w:rsidDel="00000000" w:rsidP="00000000" w:rsidRDefault="00000000" w:rsidRPr="00000000" w14:paraId="00000031">
      <w:pPr>
        <w:bidi w:val="1"/>
        <w:rPr/>
      </w:pPr>
      <w:r w:rsidDel="00000000" w:rsidR="00000000" w:rsidRPr="00000000">
        <w:rPr>
          <w:rtl w:val="1"/>
        </w:rPr>
        <w:t xml:space="preserve">تعتبر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مقدمة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وبيان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الثاني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بإملاء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الوصف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الوظيفي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ونظام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العاملين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أجزاء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تتجزأ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الاتفاقية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2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الثانية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يدفع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أجرا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شهريا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نهاية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مقداره</w:t>
      </w:r>
      <w:r w:rsidDel="00000000" w:rsidR="00000000" w:rsidRPr="00000000">
        <w:rPr>
          <w:color w:val="000000"/>
          <w:rtl w:val="1"/>
        </w:rPr>
        <w:t xml:space="preserve">:</w:t>
      </w:r>
    </w:p>
    <w:tbl>
      <w:tblPr>
        <w:tblStyle w:val="Table5"/>
        <w:bidiVisual w:val="1"/>
        <w:tblW w:w="757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79"/>
        <w:gridCol w:w="4593"/>
        <w:gridCol w:w="1703"/>
        <w:tblGridChange w:id="0">
          <w:tblGrid>
            <w:gridCol w:w="1279"/>
            <w:gridCol w:w="4593"/>
            <w:gridCol w:w="1703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4">
            <w:pPr>
              <w:bidi w:val="1"/>
              <w:ind w:left="360" w:firstLine="0"/>
              <w:rPr/>
            </w:pPr>
            <w:r w:rsidDel="00000000" w:rsidR="00000000" w:rsidRPr="00000000">
              <w:rPr>
                <w:rtl w:val="1"/>
              </w:rPr>
              <w:t xml:space="preserve">رقما</w:t>
            </w:r>
            <w:r w:rsidDel="00000000" w:rsidR="00000000" w:rsidRPr="00000000">
              <w:rPr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bidi w:val="1"/>
              <w:rPr/>
            </w:pPr>
            <w:r w:rsidDel="00000000" w:rsidR="00000000" w:rsidRPr="00000000">
              <w:rPr>
                <w:rtl w:val="0"/>
              </w:rPr>
              <w:t xml:space="preserve">$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7">
            <w:pPr>
              <w:bidi w:val="1"/>
              <w:ind w:left="360" w:firstLine="0"/>
              <w:rPr/>
            </w:pPr>
            <w:r w:rsidDel="00000000" w:rsidR="00000000" w:rsidRPr="00000000">
              <w:rPr>
                <w:rtl w:val="1"/>
              </w:rPr>
              <w:t xml:space="preserve">كتابة</w:t>
            </w:r>
            <w:r w:rsidDel="00000000" w:rsidR="00000000" w:rsidRPr="00000000">
              <w:rPr>
                <w:rtl w:val="1"/>
              </w:rPr>
              <w:t xml:space="preserve">ً</w:t>
            </w:r>
          </w:p>
        </w:tc>
        <w:tc>
          <w:tcPr/>
          <w:p w:rsidR="00000000" w:rsidDel="00000000" w:rsidP="00000000" w:rsidRDefault="00000000" w:rsidRPr="00000000" w14:paraId="00000038">
            <w:pPr>
              <w:bidi w:val="1"/>
              <w:ind w:left="36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3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فقط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غير</w:t>
            </w:r>
          </w:p>
        </w:tc>
      </w:tr>
    </w:tbl>
    <w:p w:rsidR="00000000" w:rsidDel="00000000" w:rsidP="00000000" w:rsidRDefault="00000000" w:rsidRPr="00000000" w14:paraId="0000003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دفع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الرواتب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ساعات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تتأخر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الخامس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لظروف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خارجة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إرادة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الجمعية</w:t>
      </w:r>
      <w:r w:rsidDel="00000000" w:rsidR="00000000" w:rsidRPr="00000000">
        <w:rPr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يلتزم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بتسديد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أجرا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شهريا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قدره</w:t>
      </w:r>
      <w:r w:rsidDel="00000000" w:rsidR="00000000" w:rsidRPr="00000000">
        <w:rPr>
          <w:color w:val="000000"/>
          <w:rtl w:val="1"/>
        </w:rPr>
        <w:t xml:space="preserve"> /--------/ </w:t>
      </w:r>
      <w:r w:rsidDel="00000000" w:rsidR="00000000" w:rsidRPr="00000000">
        <w:rPr>
          <w:color w:val="000000"/>
          <w:rtl w:val="1"/>
        </w:rPr>
        <w:t xml:space="preserve">دولار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أميركي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وفقا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محدد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السابق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يعادله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بالليرة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اللبنانية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وفقا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لسعر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المحدد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المنصة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لعمليات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الصيرفة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بتاريخ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الدفع</w:t>
      </w:r>
      <w:r w:rsidDel="00000000" w:rsidR="00000000" w:rsidRPr="00000000">
        <w:rPr>
          <w:color w:val="000000"/>
          <w:rtl w:val="1"/>
        </w:rPr>
        <w:t xml:space="preserve">. 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108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يشمل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الأجر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المذكور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البند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مبلغ</w:t>
      </w:r>
      <w:r w:rsidDel="00000000" w:rsidR="00000000" w:rsidRPr="00000000">
        <w:rPr>
          <w:b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بدل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النقل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اليومي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الرسمي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108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الثالثة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7575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22"/>
        <w:gridCol w:w="2430"/>
        <w:gridCol w:w="2423"/>
        <w:tblGridChange w:id="0">
          <w:tblGrid>
            <w:gridCol w:w="2722"/>
            <w:gridCol w:w="2430"/>
            <w:gridCol w:w="2423"/>
          </w:tblGrid>
        </w:tblGridChange>
      </w:tblGrid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مدة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هذه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الاتفاقية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43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الى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44">
      <w:pPr>
        <w:bidi w:val="1"/>
        <w:rPr/>
      </w:pPr>
      <w:r w:rsidDel="00000000" w:rsidR="00000000" w:rsidRPr="00000000">
        <w:rPr>
          <w:rtl w:val="1"/>
        </w:rPr>
        <w:t xml:space="preserve">غير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قابلة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للتجديد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باتفاق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الفريقين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الخطي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ذلك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إنهاء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يعطي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إشعارا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(30) </w:t>
      </w:r>
      <w:r w:rsidDel="00000000" w:rsidR="00000000" w:rsidRPr="00000000">
        <w:rPr>
          <w:color w:val="000000"/>
          <w:rtl w:val="1"/>
        </w:rPr>
        <w:t xml:space="preserve">يوم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تاريخ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إنهاء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تعويض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مكافأة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إنهاء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شريطة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إخطار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خطيا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بذلك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قبل</w:t>
      </w:r>
      <w:r w:rsidDel="00000000" w:rsidR="00000000" w:rsidRPr="00000000">
        <w:rPr>
          <w:color w:val="000000"/>
          <w:rtl w:val="1"/>
        </w:rPr>
        <w:t xml:space="preserve"> (30) </w:t>
      </w:r>
      <w:r w:rsidDel="00000000" w:rsidR="00000000" w:rsidRPr="00000000">
        <w:rPr>
          <w:color w:val="000000"/>
          <w:rtl w:val="1"/>
        </w:rPr>
        <w:t xml:space="preserve">يوم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الموعد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المحدد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خلال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الحصول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راتبه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مذكور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حالة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الاستقالة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نهاية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اقتطاع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تبقى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الراتب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يتناسب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حضور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الفترة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يلتزم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بأيام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الدوام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الرسمي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المذكورة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نظام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الوظائف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وشؤون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الموظفين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للجمعية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9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الرابعة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يعتبر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شهرين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اختبار</w:t>
      </w:r>
      <w:r w:rsidDel="00000000" w:rsidR="00000000" w:rsidRPr="00000000">
        <w:rPr>
          <w:color w:val="000000"/>
          <w:rtl w:val="1"/>
        </w:rPr>
        <w:t xml:space="preserve"> (</w:t>
      </w:r>
      <w:r w:rsidDel="00000000" w:rsidR="00000000" w:rsidRPr="00000000">
        <w:rPr>
          <w:color w:val="000000"/>
          <w:rtl w:val="1"/>
        </w:rPr>
        <w:t xml:space="preserve">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تجريبية</w:t>
      </w:r>
      <w:r w:rsidDel="00000000" w:rsidR="00000000" w:rsidRPr="00000000">
        <w:rPr>
          <w:color w:val="000000"/>
          <w:rtl w:val="1"/>
        </w:rPr>
        <w:t xml:space="preserve">) </w:t>
      </w:r>
    </w:p>
    <w:tbl>
      <w:tblPr>
        <w:tblStyle w:val="Table7"/>
        <w:bidiVisual w:val="1"/>
        <w:tblW w:w="7576.0" w:type="dxa"/>
        <w:jc w:val="left"/>
        <w:tblInd w:w="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80"/>
        <w:gridCol w:w="3796"/>
        <w:tblGridChange w:id="0">
          <w:tblGrid>
            <w:gridCol w:w="3780"/>
            <w:gridCol w:w="3796"/>
          </w:tblGrid>
        </w:tblGridChange>
      </w:tblGrid>
      <w:tr>
        <w:trPr>
          <w:cantSplit w:val="0"/>
          <w:trHeight w:val="432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bidi w:val="1"/>
              <w:spacing w:after="160" w:line="259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1"/>
              </w:rPr>
              <w:t xml:space="preserve">تبدأ</w:t>
            </w:r>
            <w:r w:rsidDel="00000000" w:rsidR="00000000" w:rsidRPr="00000000">
              <w:rPr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rtl w:val="1"/>
              </w:rPr>
              <w:t xml:space="preserve">من</w:t>
            </w:r>
            <w:r w:rsidDel="00000000" w:rsidR="00000000" w:rsidRPr="00000000">
              <w:rPr>
                <w:color w:val="000000"/>
                <w:rtl w:val="1"/>
              </w:rPr>
              <w:t xml:space="preserve">: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وتنتهي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في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</w:tr>
    </w:tbl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تمديد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التجريبية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واحد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توصية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المدير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المباشر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تعيين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بشكل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رسمي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الاستغناء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خدماته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تمديد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التجريبية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لمدة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تزيد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شهر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إضافي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توصية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مدير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القسم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مرفقة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بتقييم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التجريبية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الاستغناء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خدمات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وفسخ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التجريبية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بدون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إنذار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مسبق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الحصول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راتبه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أساس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حضوره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الاستغناء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عنه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الخامسة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5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بالقيام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بعمله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المتفق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أكمل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وجه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وبكل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واهتمام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وإخلاص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ووفق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تقتضيه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مصلحة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وتوجيهات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يمثله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بتزويد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بتقارير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نشاطه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وبكل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المعلومات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المتعلقة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بعمله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بالحفاظ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المعلومات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المتعلقة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بعمله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وعدم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إفشائها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ثالث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سواء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حصل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المعلومات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مباشرة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ثالث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طالما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حصل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معرض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قيامه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بعمله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تعتبر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أفكار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المشاريع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قيد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التنفيذ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المنفذة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الجمعية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ملاك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الملكية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الفكرية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للجمعية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بحيث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تنفيذ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الأفكار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خارج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نطاق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الجمعية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بالمحافظة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والأشياء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والأدوات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يعطيها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أثناء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ممارسة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ويبقى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مالكا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وتكون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حيازة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سبيل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الأمانة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خلال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فترة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بحيث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يتوجب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إعادتها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انتهاء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عمله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حاجة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إجراء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يقوم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بأداء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واجباته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بأمانة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وإخلاص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ووفقا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للنظام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الداخلي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سياسات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الحماية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سياسة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حماية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الطفل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الحماية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الاستغلال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1"/>
        </w:rPr>
        <w:t xml:space="preserve">والاعتداء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الجنسي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1"/>
        </w:rPr>
        <w:t xml:space="preserve">للتعليمات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الفنية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والإدارية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يعطيها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موظفيه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وكلائه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المكلفين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بتسيير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العمل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وحده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المسؤول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تقيده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بتعليمات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وتوجيهات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والأنظمة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المعمول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بها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يلتزم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بتنفيذ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الموكلة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إليه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بنفسه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ولا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إحالتها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الغير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بأية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صفة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كانت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وقبل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الحصول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موافقة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الخطية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المسبقة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بذلك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يلتزم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بالمشاركة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بالدورات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التدريبية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والنشاطات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الداخلية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والخارجية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يحددها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والذي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يتحمل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كافة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نفقات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المشاركة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1"/>
        </w:rPr>
        <w:t xml:space="preserve">يعتبر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مسؤولا</w:t>
      </w:r>
      <w:r w:rsidDel="00000000" w:rsidR="00000000" w:rsidRPr="00000000">
        <w:rPr>
          <w:color w:val="000000"/>
          <w:rtl w:val="1"/>
        </w:rPr>
        <w:t xml:space="preserve">ً </w:t>
      </w:r>
      <w:r w:rsidDel="00000000" w:rsidR="00000000" w:rsidRPr="00000000">
        <w:rPr>
          <w:color w:val="000000"/>
          <w:rtl w:val="1"/>
        </w:rPr>
        <w:t xml:space="preserve">مسؤولية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كاملة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المسلمة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قبل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كما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أنه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بالحفاظ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عليها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وإرجاعها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سليمة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نهاية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تعاقده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طلب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لها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ويحق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حسم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قيمة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أتلفه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دمره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فقده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آلات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منتجات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يملكها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الأول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تعتبر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جميع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التقارير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والبحوث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والبيانات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والأعمال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المنتجة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والمرتبطة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بالجمعية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تطور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التي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استخدمت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بموجب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ملاك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جمعية</w:t>
      </w:r>
      <w:r w:rsidDel="00000000" w:rsidR="00000000" w:rsidRPr="00000000">
        <w:rPr>
          <w:color w:val="ff0000"/>
          <w:rtl w:val="0"/>
        </w:rPr>
        <w:t xml:space="preserve">xxxx،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يجب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تسليمها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وإعادتها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الجمعية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عند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الطلب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مع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انتهاء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العقد</w:t>
      </w:r>
      <w:r w:rsidDel="00000000" w:rsidR="00000000" w:rsidRPr="00000000">
        <w:rPr>
          <w:color w:val="000000"/>
          <w:rtl w:val="1"/>
        </w:rPr>
        <w:t xml:space="preserve">. </w:t>
      </w:r>
      <w:r w:rsidDel="00000000" w:rsidR="00000000" w:rsidRPr="00000000">
        <w:rPr>
          <w:color w:val="000000"/>
          <w:rtl w:val="1"/>
        </w:rPr>
        <w:t xml:space="preserve">وعلى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المتعاقد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الالتزام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بعدم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نشر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الاستفادة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دون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الموافقة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الخطية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المسبقة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للجمعية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تحت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طائلة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الملاحقة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والمساءلة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القانونية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spacing w:after="0" w:lineRule="auto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يقر</w:t>
      </w:r>
      <w:r w:rsidDel="00000000" w:rsidR="00000000" w:rsidRPr="00000000">
        <w:rPr>
          <w:color w:val="000000"/>
          <w:rtl w:val="1"/>
        </w:rPr>
        <w:t xml:space="preserve">ّ </w:t>
      </w:r>
      <w:r w:rsidDel="00000000" w:rsidR="00000000" w:rsidRPr="00000000">
        <w:rPr>
          <w:color w:val="000000"/>
          <w:rtl w:val="1"/>
        </w:rPr>
        <w:t xml:space="preserve">الفريقان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بشرعية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استخدام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نظام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الحاسب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الآلي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الخطابات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الكتابية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كوسيلة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رسمية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للتواصل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والتراسل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بين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الفريقين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وذلك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فيما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يصب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في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مصلحتهما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مثل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الإعلام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بالإنذارات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تحتفظ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الجمعية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بتسجيل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الانذارات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الإدارية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وزارة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b w:val="1"/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والقرارات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الإدارية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والإشعارات</w:t>
      </w:r>
      <w:r w:rsidDel="00000000" w:rsidR="00000000" w:rsidRPr="00000000">
        <w:rPr>
          <w:color w:val="000000"/>
          <w:rtl w:val="1"/>
        </w:rPr>
        <w:t xml:space="preserve">، </w:t>
      </w:r>
      <w:r w:rsidDel="00000000" w:rsidR="00000000" w:rsidRPr="00000000">
        <w:rPr>
          <w:color w:val="000000"/>
          <w:rtl w:val="1"/>
        </w:rPr>
        <w:t xml:space="preserve">الإعلام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بالواجبات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والمهمات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bidi w:val="1"/>
        <w:ind w:left="720" w:hanging="360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يتعهد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الفريق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الثاني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بالموافقة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على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عدم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إفشاء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أي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من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المعلومات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أو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المواد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الخاصة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بهذه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الاتفاقية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لطرف</w:t>
      </w:r>
      <w:r w:rsidDel="00000000" w:rsidR="00000000" w:rsidRPr="00000000">
        <w:rPr>
          <w:color w:val="000000"/>
          <w:rtl w:val="1"/>
        </w:rPr>
        <w:t xml:space="preserve"> </w:t>
      </w:r>
      <w:r w:rsidDel="00000000" w:rsidR="00000000" w:rsidRPr="00000000">
        <w:rPr>
          <w:color w:val="000000"/>
          <w:rtl w:val="1"/>
        </w:rPr>
        <w:t xml:space="preserve">ثالث</w:t>
      </w:r>
      <w:r w:rsidDel="00000000" w:rsidR="00000000" w:rsidRPr="00000000">
        <w:rPr>
          <w:color w:val="000000"/>
          <w:rtl w:val="1"/>
        </w:rPr>
        <w:t xml:space="preserve">.</w:t>
      </w:r>
    </w:p>
    <w:p w:rsidR="00000000" w:rsidDel="00000000" w:rsidP="00000000" w:rsidRDefault="00000000" w:rsidRPr="00000000" w14:paraId="0000005E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المادة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السادسة</w:t>
      </w:r>
      <w:r w:rsidDel="00000000" w:rsidR="00000000" w:rsidRPr="00000000">
        <w:rPr>
          <w:b w:val="1"/>
          <w:rtl w:val="1"/>
        </w:rPr>
        <w:t xml:space="preserve">:</w:t>
      </w:r>
    </w:p>
    <w:p w:rsidR="00000000" w:rsidDel="00000000" w:rsidP="00000000" w:rsidRDefault="00000000" w:rsidRPr="00000000" w14:paraId="0000005F">
      <w:pPr>
        <w:bidi w:val="1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1"/>
        </w:rPr>
        <w:t xml:space="preserve">بتوقيعي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وبنوده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المدرجة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وأعترف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اطلعت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محتوى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ومضمون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دليل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الخاص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يتضمن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مدونة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السلوك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الشخصي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الصون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النوع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الاجتماعي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الحماية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والاساءة</w:t>
      </w:r>
      <w:r w:rsidDel="00000000" w:rsidR="00000000" w:rsidRPr="00000000">
        <w:rPr>
          <w:rtl w:val="1"/>
        </w:rPr>
        <w:t xml:space="preserve">/ </w:t>
      </w:r>
      <w:r w:rsidDel="00000000" w:rsidR="00000000" w:rsidRPr="00000000">
        <w:rPr>
          <w:rtl w:val="1"/>
        </w:rPr>
        <w:t xml:space="preserve">التحرش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الإبلاغ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المخالفات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تضارب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المصالح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الأقارب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مكافحة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والرشوة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والفساد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الخصوصية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والسرية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حماية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البيانات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ومكافحة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الإرهاب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وغسيل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الأموال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وإني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مدرك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لما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حقوق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وواجبات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متعلقة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بكافة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الموظفين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وموافق</w:t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عليها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0">
      <w:pPr>
        <w:bidi w:val="1"/>
        <w:rPr>
          <w:b w:val="1"/>
        </w:rPr>
      </w:pPr>
      <w:bookmarkStart w:colFirst="0" w:colLast="0" w:name="_heading=h.3p92qs10h961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وأعترف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بأن</w:t>
      </w:r>
      <w:r w:rsidDel="00000000" w:rsidR="00000000" w:rsidRPr="00000000">
        <w:rPr>
          <w:color w:val="ff0000"/>
          <w:rtl w:val="0"/>
        </w:rPr>
        <w:t xml:space="preserve"> xxxxxx </w:t>
      </w:r>
      <w:r w:rsidDel="00000000" w:rsidR="00000000" w:rsidRPr="00000000">
        <w:rPr>
          <w:rtl w:val="1"/>
        </w:rPr>
        <w:t xml:space="preserve">لديها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سياسة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التسامح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مطلق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الاستغلال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الجنسي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والاعتداء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والاعتداء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الأطفال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أيضا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الاحتيال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والرشوة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والأنشطة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الفاسدة</w:t>
      </w:r>
      <w:r w:rsidDel="00000000" w:rsidR="00000000" w:rsidRPr="00000000">
        <w:rPr>
          <w:rtl w:val="1"/>
        </w:rPr>
        <w:t xml:space="preserve">.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bidi w:val="1"/>
        <w:rPr>
          <w:b w:val="1"/>
        </w:rPr>
      </w:pPr>
      <w:r w:rsidDel="00000000" w:rsidR="00000000" w:rsidRPr="00000000">
        <w:rPr>
          <w:b w:val="1"/>
          <w:rtl w:val="1"/>
        </w:rPr>
        <w:t xml:space="preserve">التواقيع</w:t>
      </w:r>
      <w:r w:rsidDel="00000000" w:rsidR="00000000" w:rsidRPr="00000000">
        <w:rPr>
          <w:b w:val="1"/>
          <w:rtl w:val="1"/>
        </w:rPr>
        <w:t xml:space="preserve">:</w:t>
      </w:r>
    </w:p>
    <w:tbl>
      <w:tblPr>
        <w:tblStyle w:val="Table8"/>
        <w:bidiVisual w:val="1"/>
        <w:tblW w:w="82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19"/>
        <w:gridCol w:w="7377"/>
        <w:tblGridChange w:id="0">
          <w:tblGrid>
            <w:gridCol w:w="919"/>
            <w:gridCol w:w="7377"/>
          </w:tblGrid>
        </w:tblGridChange>
      </w:tblGrid>
      <w:tr>
        <w:trPr>
          <w:cantSplit w:val="0"/>
          <w:trHeight w:val="432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2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التاريخ</w:t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1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056"/>
        <w:gridCol w:w="4056"/>
        <w:tblGridChange w:id="0">
          <w:tblGrid>
            <w:gridCol w:w="4056"/>
            <w:gridCol w:w="4056"/>
          </w:tblGrid>
        </w:tblGridChange>
      </w:tblGrid>
      <w:tr>
        <w:trPr>
          <w:cantSplit w:val="0"/>
          <w:trHeight w:val="186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65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الأول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66">
            <w:pPr>
              <w:bidi w:val="1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الفريق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الثاني</w:t>
            </w:r>
          </w:p>
        </w:tc>
      </w:tr>
      <w:tr>
        <w:trPr>
          <w:cantSplit w:val="0"/>
          <w:trHeight w:val="1861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مدير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الجمعية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  <w:tc>
          <w:tcPr/>
          <w:p w:rsidR="00000000" w:rsidDel="00000000" w:rsidP="00000000" w:rsidRDefault="00000000" w:rsidRPr="00000000" w14:paraId="00000068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الموظف</w:t>
            </w:r>
            <w:r w:rsidDel="00000000" w:rsidR="00000000" w:rsidRPr="00000000">
              <w:rPr>
                <w:rtl w:val="1"/>
              </w:rPr>
              <w:t xml:space="preserve">: </w:t>
            </w:r>
          </w:p>
        </w:tc>
      </w:tr>
      <w:tr>
        <w:trPr>
          <w:cantSplit w:val="0"/>
          <w:trHeight w:val="1861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bidi w:val="1"/>
              <w:rPr/>
            </w:pPr>
            <w:r w:rsidDel="00000000" w:rsidR="00000000" w:rsidRPr="00000000">
              <w:rPr>
                <w:rtl w:val="1"/>
              </w:rPr>
              <w:t xml:space="preserve">التوقيع</w:t>
            </w:r>
            <w:r w:rsidDel="00000000" w:rsidR="00000000" w:rsidRPr="00000000">
              <w:rPr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6C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bidi w:val="1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bidi w:val="1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bidi w:val="1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8A2AA9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8A2AA9"/>
    <w:pPr>
      <w:tabs>
        <w:tab w:val="center" w:pos="4320"/>
        <w:tab w:val="right" w:pos="864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2AA9"/>
  </w:style>
  <w:style w:type="paragraph" w:styleId="Footer">
    <w:name w:val="footer"/>
    <w:basedOn w:val="Normal"/>
    <w:link w:val="FooterChar"/>
    <w:uiPriority w:val="99"/>
    <w:unhideWhenUsed w:val="1"/>
    <w:rsid w:val="008A2AA9"/>
    <w:pPr>
      <w:tabs>
        <w:tab w:val="center" w:pos="4320"/>
        <w:tab w:val="right" w:pos="864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2AA9"/>
  </w:style>
  <w:style w:type="table" w:styleId="TableGrid">
    <w:name w:val="Table Grid"/>
    <w:basedOn w:val="TableNormal"/>
    <w:uiPriority w:val="39"/>
    <w:rsid w:val="008A2A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7357E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7357E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lou7atwzbnq5//9/sli780Ur2A==">CgMxLjAyCGguZ2pkZ3hzMg5oLjNwOTJxczEwaDk2MTgAciExWkRHWlJlSmFOa09jcmVXOXNmUEtQaG1sa0ZCUHVkMlk=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2023-04-28T13:14:00Z</dcterms:created>
  <dc:creator>Salah</dc:creator>
</cp:coreProperties>
</file>